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4A" w:rsidRPr="0087294A" w:rsidRDefault="0087294A" w:rsidP="0087294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94A">
        <w:rPr>
          <w:rFonts w:ascii="Times New Roman" w:hAnsi="Times New Roman" w:cs="Times New Roman"/>
          <w:sz w:val="24"/>
          <w:szCs w:val="24"/>
        </w:rPr>
        <w:t>Приложение 1 к письму Правительства УР</w:t>
      </w:r>
    </w:p>
    <w:p w:rsidR="0087294A" w:rsidRPr="0087294A" w:rsidRDefault="0087294A" w:rsidP="0087294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294A">
        <w:rPr>
          <w:rFonts w:ascii="Times New Roman" w:hAnsi="Times New Roman" w:cs="Times New Roman"/>
          <w:sz w:val="24"/>
          <w:szCs w:val="24"/>
        </w:rPr>
        <w:t>от___________№____________</w:t>
      </w:r>
    </w:p>
    <w:p w:rsidR="0087294A" w:rsidRPr="0087294A" w:rsidRDefault="0087294A" w:rsidP="00872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4A">
        <w:rPr>
          <w:rFonts w:ascii="Times New Roman" w:hAnsi="Times New Roman" w:cs="Times New Roman"/>
          <w:b/>
          <w:sz w:val="28"/>
          <w:szCs w:val="28"/>
        </w:rPr>
        <w:t>Информация для размещения на официальном сайте</w:t>
      </w:r>
    </w:p>
    <w:p w:rsidR="0087294A" w:rsidRPr="0087294A" w:rsidRDefault="0087294A" w:rsidP="00872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4A">
        <w:rPr>
          <w:rFonts w:ascii="Times New Roman" w:hAnsi="Times New Roman" w:cs="Times New Roman"/>
          <w:b/>
          <w:sz w:val="28"/>
          <w:szCs w:val="28"/>
        </w:rPr>
        <w:t>в сети «Интернет»</w:t>
      </w:r>
    </w:p>
    <w:p w:rsidR="0087294A" w:rsidRPr="0087294A" w:rsidRDefault="0087294A" w:rsidP="0087294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94A">
        <w:rPr>
          <w:rFonts w:ascii="Times New Roman" w:hAnsi="Times New Roman" w:cs="Times New Roman"/>
          <w:b/>
          <w:sz w:val="28"/>
          <w:szCs w:val="28"/>
        </w:rPr>
        <w:t xml:space="preserve">По инициативе Главы Удмуртской Республики А.В. Бречалова Удмуртская Республика включена в реализацию пилотного проекта Банка России </w:t>
      </w:r>
      <w:r w:rsidRPr="00872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«Каталог частных и общественных инициатив в области финансовой грамотности». </w:t>
      </w:r>
    </w:p>
    <w:p w:rsidR="0087294A" w:rsidRPr="0087294A" w:rsidRDefault="0087294A" w:rsidP="00872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4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указанного пилотного проекта Банком России планируется </w:t>
      </w:r>
      <w:r w:rsidRPr="0087294A">
        <w:rPr>
          <w:rFonts w:ascii="Times New Roman" w:hAnsi="Times New Roman" w:cs="Times New Roman"/>
          <w:sz w:val="28"/>
          <w:szCs w:val="28"/>
        </w:rPr>
        <w:t xml:space="preserve">создать банк данных частных и общественных инициатив в области финансовой грамотности, что </w:t>
      </w:r>
      <w:r w:rsidRPr="0087294A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позволит создать сборник лучших практик по финансовой грамотности, обмениваться опытом между инициаторами из разных регионов по всей России и масштабировать лучшие из них. </w:t>
      </w:r>
    </w:p>
    <w:p w:rsidR="0087294A" w:rsidRPr="0087294A" w:rsidRDefault="0087294A" w:rsidP="00872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Под инициативой в данном случае следует понимать конкретный пример реализации на территории Удмуртской Республики механизма, процедуры или методики, нацеленных на повышение финансовой грамотности или финансовой культуры населения, добросовестного информирования населения об институтах и инструментах финансового рынка. То есть, если вы придумали игру, проводите лекции или занятия по финансовой грамотности, учите людей разбираться в финансах и т.д. – участвуйте в пилотном проекте, делитесь своим опытом с другими!</w:t>
      </w:r>
    </w:p>
    <w:p w:rsidR="0087294A" w:rsidRPr="0087294A" w:rsidRDefault="0087294A" w:rsidP="00872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4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указанного проекта </w:t>
      </w:r>
      <w:r w:rsidRPr="0087294A">
        <w:rPr>
          <w:rFonts w:ascii="Times New Roman" w:hAnsi="Times New Roman" w:cs="Times New Roman"/>
          <w:sz w:val="28"/>
          <w:szCs w:val="28"/>
        </w:rPr>
        <w:t xml:space="preserve">вкупе с иными мероприятиями, направленными на повышение уровня финансовой грамотности, </w:t>
      </w:r>
      <w:r w:rsidRPr="0087294A">
        <w:rPr>
          <w:rFonts w:ascii="Times New Roman" w:hAnsi="Times New Roman" w:cs="Times New Roman"/>
          <w:color w:val="000000"/>
          <w:sz w:val="28"/>
          <w:szCs w:val="28"/>
        </w:rPr>
        <w:t xml:space="preserve">будет способствовать повышению финансовой грамотности населения Удмуртской Республики и Российской Федерации в целом </w:t>
      </w:r>
      <w:r w:rsidRPr="0087294A">
        <w:rPr>
          <w:rFonts w:ascii="Times New Roman" w:hAnsi="Times New Roman" w:cs="Times New Roman"/>
          <w:sz w:val="28"/>
          <w:szCs w:val="28"/>
        </w:rPr>
        <w:t>и, как следствие, росту уровня благосостояния российских граждан</w:t>
      </w:r>
      <w:r w:rsidRPr="00872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4A" w:rsidRPr="0087294A" w:rsidRDefault="0087294A" w:rsidP="0087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За подробной информацией об участии в пилотном проекте рекомендуем обращаться в Центр экономического образования молодёжи и предпринимательства по телефону 8 (3412) 43-86-86, 65-85-86, адрес электронной почты: </w:t>
      </w:r>
      <w:hyperlink r:id="rId8" w:history="1">
        <w:r w:rsidRPr="008729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ceey</w:t>
        </w:r>
        <w:r w:rsidRPr="008729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729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729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729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294A">
        <w:rPr>
          <w:rFonts w:ascii="Times New Roman" w:hAnsi="Times New Roman" w:cs="Times New Roman"/>
          <w:sz w:val="28"/>
          <w:szCs w:val="28"/>
        </w:rPr>
        <w:t>, директор – Симкина Наталья Михайловна.</w:t>
      </w: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7294A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                                                                Приложение 2 к письму Правительства УР</w:t>
      </w:r>
    </w:p>
    <w:p w:rsidR="0087294A" w:rsidRPr="0087294A" w:rsidRDefault="0087294A" w:rsidP="0087294A">
      <w:pPr>
        <w:ind w:firstLine="709"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7294A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от ___________  № ____________</w:t>
      </w:r>
    </w:p>
    <w:p w:rsidR="0087294A" w:rsidRPr="0087294A" w:rsidRDefault="0087294A" w:rsidP="0087294A">
      <w:pPr>
        <w:pStyle w:val="a7"/>
        <w:jc w:val="right"/>
      </w:pPr>
    </w:p>
    <w:p w:rsidR="0087294A" w:rsidRPr="0087294A" w:rsidRDefault="0087294A" w:rsidP="00872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4A" w:rsidRPr="0087294A" w:rsidRDefault="0087294A" w:rsidP="00872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4A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87294A">
        <w:rPr>
          <w:rFonts w:ascii="Times New Roman" w:hAnsi="Times New Roman" w:cs="Times New Roman"/>
          <w:b/>
          <w:sz w:val="28"/>
          <w:szCs w:val="28"/>
        </w:rPr>
        <w:br/>
        <w:t>по сбору сведений о частных и общественных инициативах по повышению финансовой грамотности населения Российской Федерации</w:t>
      </w:r>
    </w:p>
    <w:p w:rsidR="0087294A" w:rsidRPr="0087294A" w:rsidRDefault="0087294A" w:rsidP="0087294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Под инициативой по повышению финансовой грамотности населения Российской Федерации (далее – инициатива) предлагается понимать любые действия (создание и распространение программных продуктов, технологий, обучающих программ или методик, печатных, аудио/видео материалов, проведение мероприятий, семинаров, деловых игр и т.д.), направленные на решение одной или нескольких следующих задач финансового просвещения: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повышение уровня финансовой грамотности;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формирование разумного финансового поведения;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-содействие применению гражданами личного финансового планирования и осознанного выбора финансовых продуктов и услуг;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содействие снижению финансовых рисков населения Российской Федерации путём добросовестного информирования граждан об институтах и инструментах финансового рынка, услугах или продуктах, реализующихся на территории Российской Федерации, а также способах и технологиях защиты прав потребителей финансовых услуг в случае их нарушения;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предотвращение конфликта интересов между финансовыми институтами и потребителями финансовых услуг;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 формированию корпуса волонтеров финансового просвещения.</w:t>
      </w:r>
    </w:p>
    <w:p w:rsidR="0087294A" w:rsidRPr="0087294A" w:rsidRDefault="0087294A" w:rsidP="0087294A">
      <w:pPr>
        <w:rPr>
          <w:rFonts w:ascii="Times New Roman" w:hAnsi="Times New Roman" w:cs="Times New Roman"/>
        </w:rPr>
      </w:pP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Помимо задач, на решение которых направлена инициатива, с целью исключения из отбора инициатив, не соответствующих требованиям законодательства, не имеющим опыта реализации, а также носящих рекламный или маркетинговый характер (направленных на продвижение </w:t>
      </w:r>
      <w:r w:rsidRPr="0087294A">
        <w:rPr>
          <w:rFonts w:ascii="Times New Roman" w:hAnsi="Times New Roman" w:cs="Times New Roman"/>
          <w:sz w:val="28"/>
          <w:szCs w:val="28"/>
        </w:rPr>
        <w:lastRenderedPageBreak/>
        <w:t xml:space="preserve">какого-либо конкретного финансового продукта или участника финансового рынка), представляется целесообразным устанавливать критерии, которым инициатива должна соответствовать. 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7294A" w:rsidRPr="0087294A" w:rsidRDefault="0087294A" w:rsidP="008729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 должна иметь подтвержденный опыт реализации и положительный измеряемый социальный эффект;</w:t>
      </w:r>
    </w:p>
    <w:p w:rsidR="0087294A" w:rsidRPr="0087294A" w:rsidRDefault="0087294A" w:rsidP="008729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должна соответствовать требованиям законодательства Российской Федерации, в том числе в части соблюдения авторских прав и интеллектуальной собственности;</w:t>
      </w:r>
    </w:p>
    <w:p w:rsidR="0087294A" w:rsidRPr="0087294A" w:rsidRDefault="0087294A" w:rsidP="008729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- не должна стимулировать интерес потребителей </w:t>
      </w:r>
      <w:r w:rsidRPr="0087294A">
        <w:rPr>
          <w:rFonts w:ascii="Times New Roman" w:hAnsi="Times New Roman" w:cs="Times New Roman"/>
          <w:sz w:val="28"/>
          <w:szCs w:val="28"/>
        </w:rPr>
        <w:br/>
        <w:t>к высокорисковым и высокодоходным финансовым инструментам;</w:t>
      </w:r>
    </w:p>
    <w:p w:rsidR="0087294A" w:rsidRPr="0087294A" w:rsidRDefault="0087294A" w:rsidP="008729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- не должна рекламировать деятельность каких-либо конкретных участников финансового рынка; </w:t>
      </w:r>
    </w:p>
    <w:p w:rsidR="0087294A" w:rsidRPr="0087294A" w:rsidRDefault="0087294A" w:rsidP="008729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- не должна формировать представление об исключительной ценности и выгодности определенных инструментов и финансовых услуг.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Учитывая, что целью сбора информации является получение сведений о частных и общественных инициативах, перечень субъектов (разработчиков) инициатив представляется возможным ограничить, рассматривая заявки от любых физических лиц, а также юридических лиц, созданных в соответствии с законодательством Российской Федерации, за исключением юридических лиц с государственным участием и (или) находящихся под управлением государственных органов власти и организаций. </w:t>
      </w:r>
    </w:p>
    <w:p w:rsidR="0087294A" w:rsidRPr="0087294A" w:rsidRDefault="0087294A" w:rsidP="0087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Непосредственно сбор информации о частных и общественных  инициативах целесообразно осуществлять с учётом следующих рекомендаций:</w:t>
      </w:r>
    </w:p>
    <w:p w:rsidR="0087294A" w:rsidRPr="0087294A" w:rsidRDefault="0087294A" w:rsidP="0087294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 xml:space="preserve">Для подачи заявки рекомендуется использовать электронные формы подачи заявок, размещаемые на специализированных сайтах, посвященных повышению уровня финансовой грамотности, либо в специализированном разделе на сайте администрации субъекта. </w:t>
      </w:r>
    </w:p>
    <w:p w:rsidR="0087294A" w:rsidRPr="0087294A" w:rsidRDefault="0087294A" w:rsidP="0087294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ограничения по количеству заявок от одного заявителя представляется нецелесообразным. В случае наличия у одного субъекта нескольких инициатив, каждую инициативу желательно оформлять отдельной заявкой. </w:t>
      </w:r>
    </w:p>
    <w:p w:rsidR="0087294A" w:rsidRPr="0087294A" w:rsidRDefault="0087294A" w:rsidP="0087294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Представляется возможным дозапрашивать необходимые сведения в рабочем порядке.</w:t>
      </w:r>
    </w:p>
    <w:p w:rsidR="0087294A" w:rsidRPr="0087294A" w:rsidRDefault="0087294A" w:rsidP="00872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4A">
        <w:rPr>
          <w:rFonts w:ascii="Times New Roman" w:hAnsi="Times New Roman" w:cs="Times New Roman"/>
          <w:sz w:val="28"/>
          <w:szCs w:val="28"/>
        </w:rPr>
        <w:t>Приложение: рекомендуемая форма анкеты/заявки для сбора информации об инициативе по повышению уровня финансовой грамотности.</w:t>
      </w: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</w:pPr>
    </w:p>
    <w:p w:rsidR="0087294A" w:rsidRPr="0087294A" w:rsidRDefault="0087294A" w:rsidP="0087294A">
      <w:pPr>
        <w:ind w:firstLine="709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7294A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                                                                     Приложение 3 к письму Правительства УР</w:t>
      </w:r>
    </w:p>
    <w:p w:rsidR="0087294A" w:rsidRPr="0087294A" w:rsidRDefault="0087294A" w:rsidP="0087294A">
      <w:pPr>
        <w:ind w:firstLine="709"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87294A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от _____ № ____________</w:t>
      </w:r>
    </w:p>
    <w:p w:rsidR="0087294A" w:rsidRPr="0087294A" w:rsidRDefault="0087294A" w:rsidP="00872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94A" w:rsidRPr="0087294A" w:rsidRDefault="0087294A" w:rsidP="008729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4A" w:rsidRPr="0087294A" w:rsidRDefault="0087294A" w:rsidP="008729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4A">
        <w:rPr>
          <w:rFonts w:ascii="Times New Roman" w:hAnsi="Times New Roman" w:cs="Times New Roman"/>
          <w:b/>
          <w:sz w:val="28"/>
          <w:szCs w:val="28"/>
        </w:rPr>
        <w:t>РЕКЛОМЕНДУЕМАЯ ФОРМА АНКЕТЫ/ЗАЯВКИ</w:t>
      </w:r>
    </w:p>
    <w:p w:rsidR="0087294A" w:rsidRPr="0087294A" w:rsidRDefault="0087294A" w:rsidP="008729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4A">
        <w:rPr>
          <w:rFonts w:ascii="Times New Roman" w:hAnsi="Times New Roman" w:cs="Times New Roman"/>
          <w:b/>
          <w:sz w:val="28"/>
          <w:szCs w:val="28"/>
        </w:rPr>
        <w:t xml:space="preserve">для сбора информации об инициативе по повышению </w:t>
      </w:r>
      <w:r w:rsidRPr="0087294A">
        <w:rPr>
          <w:rFonts w:ascii="Times New Roman" w:hAnsi="Times New Roman" w:cs="Times New Roman"/>
          <w:b/>
          <w:sz w:val="28"/>
          <w:szCs w:val="28"/>
        </w:rPr>
        <w:br/>
        <w:t>финансовой грамотности населения Российской Федерации</w:t>
      </w:r>
    </w:p>
    <w:p w:rsidR="0087294A" w:rsidRPr="0087294A" w:rsidRDefault="0087294A" w:rsidP="0087294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294A">
        <w:rPr>
          <w:rFonts w:ascii="Times New Roman" w:hAnsi="Times New Roman" w:cs="Times New Roman"/>
          <w:b/>
          <w:sz w:val="32"/>
          <w:szCs w:val="32"/>
        </w:rPr>
        <w:t>Ваш статус</w:t>
      </w:r>
    </w:p>
    <w:p w:rsidR="0087294A" w:rsidRPr="0087294A" w:rsidRDefault="0087294A" w:rsidP="00872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87294A">
        <w:rPr>
          <w:rFonts w:ascii="Times New Roman" w:hAnsi="Times New Roman" w:cs="Times New Roman"/>
          <w:sz w:val="28"/>
        </w:rPr>
        <w:t>Физическое лицо</w:t>
      </w:r>
    </w:p>
    <w:p w:rsidR="0087294A" w:rsidRPr="0087294A" w:rsidRDefault="0087294A" w:rsidP="00872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87294A">
        <w:rPr>
          <w:rFonts w:ascii="Times New Roman" w:hAnsi="Times New Roman" w:cs="Times New Roman"/>
          <w:sz w:val="28"/>
        </w:rPr>
        <w:t>Индивидуальный предприниматель</w:t>
      </w:r>
    </w:p>
    <w:p w:rsidR="0087294A" w:rsidRPr="0087294A" w:rsidRDefault="0087294A" w:rsidP="00872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87294A">
        <w:rPr>
          <w:rFonts w:ascii="Times New Roman" w:hAnsi="Times New Roman" w:cs="Times New Roman"/>
          <w:sz w:val="28"/>
        </w:rPr>
        <w:t>Юридическое лицо</w:t>
      </w:r>
    </w:p>
    <w:p w:rsidR="0087294A" w:rsidRPr="0087294A" w:rsidRDefault="0087294A" w:rsidP="0087294A">
      <w:pPr>
        <w:jc w:val="both"/>
        <w:rPr>
          <w:rFonts w:ascii="Times New Roman" w:hAnsi="Times New Roman" w:cs="Times New Roman"/>
          <w:b/>
        </w:rPr>
      </w:pPr>
      <w:r w:rsidRPr="0087294A">
        <w:rPr>
          <w:rFonts w:ascii="Times New Roman" w:hAnsi="Times New Roman" w:cs="Times New Roman"/>
          <w:b/>
          <w:sz w:val="28"/>
        </w:rPr>
        <w:t>Заполняя настоящую форму, в соответствии с требованиями статьи 9 Федерального закона от 27.07.2006 № 152-ФЗ «О персональных данных», я подтверждаю свое согласие на обработку [указать данные субъекта, осуществляющего сбор информации] персональных данных, вносимых мною в форму</w:t>
      </w:r>
    </w:p>
    <w:p w:rsidR="0087294A" w:rsidRPr="0087294A" w:rsidRDefault="0087294A" w:rsidP="00872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87294A">
        <w:rPr>
          <w:rFonts w:ascii="Times New Roman" w:hAnsi="Times New Roman" w:cs="Times New Roman"/>
          <w:sz w:val="28"/>
        </w:rPr>
        <w:t>Согласен</w:t>
      </w:r>
    </w:p>
    <w:p w:rsidR="0087294A" w:rsidRPr="0087294A" w:rsidRDefault="0087294A" w:rsidP="0087294A">
      <w:pPr>
        <w:jc w:val="both"/>
        <w:rPr>
          <w:rFonts w:ascii="Times New Roman" w:hAnsi="Times New Roman" w:cs="Times New Roman"/>
          <w:b/>
          <w:color w:val="FF0000"/>
          <w:sz w:val="32"/>
          <w:vertAlign w:val="superscript"/>
        </w:rPr>
      </w:pPr>
      <w:r w:rsidRPr="0087294A">
        <w:rPr>
          <w:rFonts w:ascii="Times New Roman" w:hAnsi="Times New Roman" w:cs="Times New Roman"/>
          <w:b/>
          <w:sz w:val="28"/>
        </w:rPr>
        <w:t>Подтверждаю, что ознакомлен и согласен с требованиями, предъявляемыми к инициативе.</w:t>
      </w:r>
      <w:r w:rsidRPr="0087294A">
        <w:rPr>
          <w:rFonts w:ascii="Times New Roman" w:hAnsi="Times New Roman" w:cs="Times New Roman"/>
          <w:b/>
          <w:color w:val="FF0000"/>
          <w:sz w:val="32"/>
          <w:vertAlign w:val="superscript"/>
        </w:rPr>
        <w:t xml:space="preserve"> </w:t>
      </w:r>
    </w:p>
    <w:p w:rsidR="0087294A" w:rsidRPr="0087294A" w:rsidRDefault="0087294A" w:rsidP="0087294A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lang w:val="en-US"/>
        </w:rPr>
      </w:pPr>
      <w:r w:rsidRPr="0087294A">
        <w:rPr>
          <w:rFonts w:ascii="Times New Roman" w:hAnsi="Times New Roman" w:cs="Times New Roman"/>
          <w:sz w:val="28"/>
        </w:rPr>
        <w:t>Согласен</w:t>
      </w:r>
    </w:p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32"/>
        </w:rPr>
      </w:pPr>
      <w:r w:rsidRPr="0087294A">
        <w:rPr>
          <w:rFonts w:ascii="Times New Roman" w:hAnsi="Times New Roman" w:cs="Times New Roman"/>
          <w:b/>
          <w:sz w:val="32"/>
        </w:rPr>
        <w:t>Форма для физического лица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Петров Иван Иванович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01.01.1985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Гражданин РФ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г. Ялта, ул. Советская, д.7, кв. 56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+7-916-007-00-90</w:t>
            </w:r>
          </w:p>
        </w:tc>
      </w:tr>
    </w:tbl>
    <w:p w:rsidR="0087294A" w:rsidRPr="0087294A" w:rsidRDefault="0087294A" w:rsidP="0087294A">
      <w:pPr>
        <w:rPr>
          <w:rFonts w:ascii="Times New Roman" w:hAnsi="Times New Roman" w:cs="Times New Roman"/>
          <w:b/>
        </w:rPr>
        <w:sectPr w:rsidR="0087294A" w:rsidRPr="0087294A" w:rsidSect="008C16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272" w:gutter="0"/>
          <w:cols w:space="708"/>
          <w:docGrid w:linePitch="360"/>
        </w:sectPr>
      </w:pPr>
    </w:p>
    <w:p w:rsidR="0087294A" w:rsidRPr="0087294A" w:rsidRDefault="0087294A" w:rsidP="0087294A">
      <w:pPr>
        <w:rPr>
          <w:rFonts w:ascii="Times New Roman" w:hAnsi="Times New Roman" w:cs="Times New Roman"/>
          <w:b/>
        </w:rPr>
      </w:pPr>
    </w:p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87294A">
        <w:rPr>
          <w:rFonts w:ascii="Times New Roman" w:hAnsi="Times New Roman" w:cs="Times New Roman"/>
          <w:b/>
          <w:sz w:val="32"/>
        </w:rPr>
        <w:t>Форма для индивидуального предпринимателя</w:t>
      </w:r>
    </w:p>
    <w:p w:rsidR="0087294A" w:rsidRPr="0087294A" w:rsidRDefault="0087294A" w:rsidP="0087294A">
      <w:pPr>
        <w:rPr>
          <w:rFonts w:ascii="Times New Roman" w:hAnsi="Times New Roman" w:cs="Times New Roman"/>
          <w:b/>
        </w:rPr>
        <w:sectPr w:rsidR="0087294A" w:rsidRPr="0087294A" w:rsidSect="008C1653">
          <w:type w:val="continuous"/>
          <w:pgSz w:w="11906" w:h="16838"/>
          <w:pgMar w:top="1134" w:right="851" w:bottom="1134" w:left="1701" w:header="709" w:footer="272" w:gutter="0"/>
          <w:cols w:space="708"/>
          <w:docGrid w:linePitch="360"/>
        </w:sectPr>
      </w:pPr>
    </w:p>
    <w:p w:rsidR="0087294A" w:rsidRPr="0087294A" w:rsidRDefault="0087294A" w:rsidP="0087294A">
      <w:pPr>
        <w:rPr>
          <w:rFonts w:ascii="Times New Roman" w:hAnsi="Times New Roman" w:cs="Times New Roman"/>
          <w:b/>
        </w:rPr>
      </w:pPr>
    </w:p>
    <w:p w:rsidR="0087294A" w:rsidRPr="0087294A" w:rsidRDefault="0087294A" w:rsidP="0087294A">
      <w:pPr>
        <w:rPr>
          <w:rFonts w:ascii="Times New Roman" w:hAnsi="Times New Roman" w:cs="Times New Roman"/>
          <w:b/>
        </w:rPr>
        <w:sectPr w:rsidR="0087294A" w:rsidRPr="0087294A" w:rsidSect="008C1653">
          <w:type w:val="continuous"/>
          <w:pgSz w:w="11906" w:h="16838"/>
          <w:pgMar w:top="1134" w:right="851" w:bottom="1134" w:left="1701" w:header="709" w:footer="272" w:gutter="0"/>
          <w:cols w:space="708"/>
          <w:docGrid w:linePitch="360"/>
        </w:sect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lastRenderedPageBreak/>
              <w:t>Наименование ИП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ИП Петров И.И.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г. Ялта, ул. Советская, д.7, кв. 56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Фактический адрес проживания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г. Ялта, ул. Советская, д.7, кв. 56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+7-916-007-00-90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lastRenderedPageBreak/>
              <w:t>ИНН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Гражданин РФ</w:t>
            </w:r>
          </w:p>
        </w:tc>
      </w:tr>
      <w:tr w:rsidR="0087294A" w:rsidRPr="0087294A" w:rsidTr="007A7636">
        <w:tc>
          <w:tcPr>
            <w:tcW w:w="3510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954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+7-916-007-00-90</w:t>
            </w:r>
          </w:p>
        </w:tc>
      </w:tr>
    </w:tbl>
    <w:p w:rsidR="0087294A" w:rsidRPr="0087294A" w:rsidRDefault="0087294A" w:rsidP="0087294A">
      <w:pPr>
        <w:rPr>
          <w:rFonts w:ascii="Times New Roman" w:hAnsi="Times New Roman" w:cs="Times New Roman"/>
          <w:b/>
        </w:rPr>
        <w:sectPr w:rsidR="0087294A" w:rsidRPr="0087294A" w:rsidSect="008C1653">
          <w:type w:val="continuous"/>
          <w:pgSz w:w="11906" w:h="16838"/>
          <w:pgMar w:top="1134" w:right="851" w:bottom="1134" w:left="1701" w:header="709" w:footer="272" w:gutter="0"/>
          <w:cols w:space="708"/>
          <w:docGrid w:linePitch="360"/>
        </w:sectPr>
      </w:pPr>
    </w:p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32"/>
        </w:rPr>
      </w:pPr>
    </w:p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87294A">
        <w:rPr>
          <w:rFonts w:ascii="Times New Roman" w:hAnsi="Times New Roman" w:cs="Times New Roman"/>
          <w:b/>
          <w:sz w:val="32"/>
        </w:rPr>
        <w:t>Форма для Юридического лица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Акционерное общество «Ромашка»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Сокращенное наименование организации</w:t>
            </w:r>
            <w:r w:rsidRPr="0087294A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АО «Ромашка»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г. Ялта, ул. Советская, д.7, кв. 56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г. Ялта, ул. Первомайская, д.15, кв. 3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+7-916-007-00-90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b/>
                <w:i/>
              </w:rPr>
            </w:pPr>
            <w:r w:rsidRPr="0087294A">
              <w:rPr>
                <w:rFonts w:ascii="Times New Roman" w:hAnsi="Times New Roman" w:cs="Times New Roman"/>
                <w:b/>
                <w:i/>
              </w:rPr>
              <w:t>Информация о руководителе организации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Петров Иван Иванович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Генеральный директор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+7-916-007-00-90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7294A">
              <w:rPr>
                <w:rFonts w:ascii="Times New Roman" w:hAnsi="Times New Roman" w:cs="Times New Roman"/>
                <w:i/>
                <w:lang w:val="en-US"/>
              </w:rPr>
              <w:t>petrov@ivan.ru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b/>
                <w:i/>
              </w:rPr>
            </w:pPr>
            <w:r w:rsidRPr="0087294A">
              <w:rPr>
                <w:rFonts w:ascii="Times New Roman" w:hAnsi="Times New Roman" w:cs="Times New Roman"/>
                <w:b/>
                <w:i/>
              </w:rPr>
              <w:t>Информация об авторе инициативы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Зойкина Вера Иванович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Главный эксперт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+7-916-007-00-91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7294A">
              <w:rPr>
                <w:rFonts w:ascii="Times New Roman" w:hAnsi="Times New Roman" w:cs="Times New Roman"/>
                <w:i/>
                <w:lang w:val="en-US"/>
              </w:rPr>
              <w:t>zoikina@vera.ru</w:t>
            </w:r>
          </w:p>
        </w:tc>
      </w:tr>
    </w:tbl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32"/>
        </w:rPr>
      </w:pPr>
    </w:p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32"/>
        </w:rPr>
      </w:pPr>
    </w:p>
    <w:p w:rsidR="0087294A" w:rsidRPr="0087294A" w:rsidRDefault="0087294A" w:rsidP="0087294A">
      <w:pPr>
        <w:shd w:val="clear" w:color="auto" w:fill="D9D9D9" w:themeFill="background1" w:themeFillShade="D9"/>
        <w:rPr>
          <w:rFonts w:ascii="Times New Roman" w:hAnsi="Times New Roman" w:cs="Times New Roman"/>
          <w:sz w:val="32"/>
        </w:rPr>
      </w:pPr>
      <w:r w:rsidRPr="0087294A">
        <w:rPr>
          <w:rFonts w:ascii="Times New Roman" w:hAnsi="Times New Roman" w:cs="Times New Roman"/>
          <w:b/>
          <w:sz w:val="32"/>
        </w:rPr>
        <w:t>Информация об инициативе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 xml:space="preserve">Город, где реализована инициатива (регион)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Краткое содержание инициативы</w:t>
            </w:r>
          </w:p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87294A">
              <w:rPr>
                <w:rFonts w:ascii="Times New Roman" w:hAnsi="Times New Roman" w:cs="Times New Roman"/>
                <w:i/>
              </w:rPr>
              <w:t>(текст до 500 знаков)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Сайт, на котором представлена информация об инициативе и примерах ее реализации  и достигнутых подтвержденных результатах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 xml:space="preserve">Наличие зарегистрированных прав на объекты интеллектуальной собственности, смежных прав, возникающие или используемые в рамках реализации инициативы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Описание проблемы и цели реализации инициативы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Охват аудитории, способы подтверждения заявленного охвата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Доступность, основа предоставления инициативы для потребителей  (платно/бесплатно/частично платно)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Выпадающий список (платно/бесплатно/частично платно)</w:t>
            </w: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 xml:space="preserve">Периодичность проведения (разово, постоянно, ежедневно, 1 раз в месяц и т.п.), или укажите «неприменимо»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 xml:space="preserve">Подробное описание инициативы, </w:t>
            </w:r>
            <w:r w:rsidRPr="0087294A">
              <w:rPr>
                <w:rFonts w:ascii="Times New Roman" w:hAnsi="Times New Roman" w:cs="Times New Roman"/>
                <w:b/>
              </w:rPr>
              <w:lastRenderedPageBreak/>
              <w:t>примеров ее реализации (в свободной форме)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lastRenderedPageBreak/>
              <w:t xml:space="preserve">Возможность, условия,  предложения по масштабированию/тиражированию инициативы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Нужна ли какая-либо форма поддержки для дальнейшего внедрения/масштабирования инициативы? (если да, то какая)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 xml:space="preserve">Свидетельства о признании положительного социального эффекта, наличие отзывов, наград, прочее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 xml:space="preserve">Имеющиеся партнеры и/или спонсоры 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294A" w:rsidRPr="0087294A" w:rsidTr="007A7636">
        <w:tc>
          <w:tcPr>
            <w:tcW w:w="4503" w:type="dxa"/>
          </w:tcPr>
          <w:p w:rsidR="0087294A" w:rsidRPr="0087294A" w:rsidRDefault="0087294A" w:rsidP="007A7636">
            <w:pPr>
              <w:tabs>
                <w:tab w:val="left" w:pos="7371"/>
              </w:tabs>
              <w:spacing w:before="240" w:after="200" w:line="276" w:lineRule="auto"/>
              <w:rPr>
                <w:rFonts w:ascii="Times New Roman" w:hAnsi="Times New Roman" w:cs="Times New Roman"/>
                <w:b/>
              </w:rPr>
            </w:pPr>
            <w:r w:rsidRPr="0087294A">
              <w:rPr>
                <w:rFonts w:ascii="Times New Roman" w:hAnsi="Times New Roman" w:cs="Times New Roman"/>
                <w:b/>
              </w:rPr>
              <w:t>Дополнительные материалы об инициативе</w:t>
            </w:r>
          </w:p>
        </w:tc>
        <w:tc>
          <w:tcPr>
            <w:tcW w:w="4961" w:type="dxa"/>
          </w:tcPr>
          <w:p w:rsidR="0087294A" w:rsidRPr="0087294A" w:rsidRDefault="0087294A" w:rsidP="007A7636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[Прикрепить файл]</w:t>
            </w:r>
          </w:p>
          <w:p w:rsidR="0087294A" w:rsidRPr="0087294A" w:rsidRDefault="0087294A" w:rsidP="007A7636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 xml:space="preserve"> [Прикрепить файл]</w:t>
            </w:r>
          </w:p>
          <w:p w:rsidR="0087294A" w:rsidRPr="0087294A" w:rsidRDefault="0087294A" w:rsidP="007A7636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7294A">
              <w:rPr>
                <w:rFonts w:ascii="Times New Roman" w:hAnsi="Times New Roman" w:cs="Times New Roman"/>
                <w:i/>
              </w:rPr>
              <w:t>[Прикрепить файл]</w:t>
            </w:r>
          </w:p>
          <w:p w:rsidR="0087294A" w:rsidRPr="0087294A" w:rsidRDefault="0087294A" w:rsidP="007A7636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7294A" w:rsidRPr="0087294A" w:rsidRDefault="0087294A" w:rsidP="00872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94A" w:rsidRPr="0087294A" w:rsidRDefault="0087294A" w:rsidP="0087294A">
      <w:pPr>
        <w:rPr>
          <w:rFonts w:ascii="Times New Roman" w:hAnsi="Times New Roman" w:cs="Times New Roman"/>
          <w:i/>
          <w:sz w:val="24"/>
          <w:szCs w:val="24"/>
        </w:rPr>
      </w:pPr>
    </w:p>
    <w:p w:rsidR="008C0994" w:rsidRPr="0087294A" w:rsidRDefault="008C0994">
      <w:pPr>
        <w:rPr>
          <w:rFonts w:ascii="Times New Roman" w:hAnsi="Times New Roman" w:cs="Times New Roman"/>
        </w:rPr>
      </w:pPr>
    </w:p>
    <w:sectPr w:rsidR="008C0994" w:rsidRPr="0087294A" w:rsidSect="00063FE9">
      <w:pgSz w:w="11907" w:h="16840" w:code="9"/>
      <w:pgMar w:top="113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C9" w:rsidRDefault="004E79C9">
      <w:pPr>
        <w:spacing w:after="0" w:line="240" w:lineRule="auto"/>
      </w:pPr>
      <w:r>
        <w:separator/>
      </w:r>
    </w:p>
  </w:endnote>
  <w:endnote w:type="continuationSeparator" w:id="0">
    <w:p w:rsidR="004E79C9" w:rsidRDefault="004E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FE" w:rsidRDefault="00AA4D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FE" w:rsidRDefault="00AA4D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FE" w:rsidRDefault="00AA4D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C9" w:rsidRDefault="004E79C9">
      <w:pPr>
        <w:spacing w:after="0" w:line="240" w:lineRule="auto"/>
      </w:pPr>
      <w:r>
        <w:separator/>
      </w:r>
    </w:p>
  </w:footnote>
  <w:footnote w:type="continuationSeparator" w:id="0">
    <w:p w:rsidR="004E79C9" w:rsidRDefault="004E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FE" w:rsidRDefault="00AA4D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53" w:rsidRDefault="004E7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53" w:rsidRDefault="004E79C9">
    <w:pPr>
      <w:pStyle w:val="a5"/>
      <w:jc w:val="center"/>
    </w:pPr>
  </w:p>
  <w:p w:rsidR="008C1653" w:rsidRDefault="004E7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ACF"/>
    <w:multiLevelType w:val="hybridMultilevel"/>
    <w:tmpl w:val="E49CC48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3A17467E"/>
    <w:multiLevelType w:val="hybridMultilevel"/>
    <w:tmpl w:val="3BFEE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4A"/>
    <w:rsid w:val="004E79C9"/>
    <w:rsid w:val="0087294A"/>
    <w:rsid w:val="008C0994"/>
    <w:rsid w:val="00AA4DFE"/>
    <w:rsid w:val="00E00883"/>
    <w:rsid w:val="00F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4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729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2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7294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2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7294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72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4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729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2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7294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2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7294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72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y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pushenkova</dc:creator>
  <cp:lastModifiedBy>Савенкова Светлана Владимировна</cp:lastModifiedBy>
  <cp:revision>2</cp:revision>
  <dcterms:created xsi:type="dcterms:W3CDTF">2017-11-30T05:35:00Z</dcterms:created>
  <dcterms:modified xsi:type="dcterms:W3CDTF">2017-11-30T05:35:00Z</dcterms:modified>
</cp:coreProperties>
</file>